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0FC8142C" w:rsidR="00DB602D" w:rsidRPr="00C06A06" w:rsidRDefault="00714BC7" w:rsidP="002053D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2053D4">
        <w:rPr>
          <w:rFonts w:cs="Calibri"/>
          <w:b/>
          <w:bCs/>
          <w:sz w:val="24"/>
          <w:szCs w:val="24"/>
        </w:rPr>
        <w:t>z</w:t>
      </w:r>
      <w:r w:rsidR="002053D4" w:rsidRPr="002053D4">
        <w:rPr>
          <w:rFonts w:cs="Calibri"/>
          <w:b/>
          <w:bCs/>
          <w:sz w:val="24"/>
          <w:szCs w:val="24"/>
        </w:rPr>
        <w:t>akup i sukcesywna dostawa nabiału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58BE6818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C535DA">
        <w:rPr>
          <w:rFonts w:cs="Calibri"/>
          <w:b/>
          <w:bCs/>
          <w:sz w:val="24"/>
          <w:szCs w:val="24"/>
          <w:lang w:eastAsia="ar-SA"/>
        </w:rPr>
        <w:t>4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C535DA">
        <w:rPr>
          <w:rFonts w:cs="Calibri"/>
          <w:b/>
          <w:bCs/>
          <w:sz w:val="24"/>
          <w:szCs w:val="24"/>
          <w:lang w:eastAsia="ar-SA"/>
        </w:rPr>
        <w:t>4</w:t>
      </w:r>
      <w:bookmarkStart w:id="0" w:name="_GoBack"/>
      <w:bookmarkEnd w:id="0"/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5A8ADC3D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411BEF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lastRenderedPageBreak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C535D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C535DA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053D4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11BEF"/>
    <w:rsid w:val="00450DB9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1EF9"/>
    <w:rsid w:val="00C2587E"/>
    <w:rsid w:val="00C405D2"/>
    <w:rsid w:val="00C42F18"/>
    <w:rsid w:val="00C45BD7"/>
    <w:rsid w:val="00C535DA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5B489-781B-4AFF-97C3-E3885DEA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3</cp:revision>
  <cp:lastPrinted>2021-10-28T12:44:00Z</cp:lastPrinted>
  <dcterms:created xsi:type="dcterms:W3CDTF">2022-12-01T10:31:00Z</dcterms:created>
  <dcterms:modified xsi:type="dcterms:W3CDTF">2023-11-21T10:21:00Z</dcterms:modified>
</cp:coreProperties>
</file>